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C68" w:rsidRDefault="00BD2C68">
      <w:pPr>
        <w:rPr>
          <w:rFonts w:ascii="Times New Roman" w:hAnsi="Times New Roman"/>
        </w:rPr>
      </w:pPr>
      <w:r w:rsidRPr="00AE2D9F">
        <w:rPr>
          <w:rFonts w:ascii="Times New Roman" w:hAnsi="Times New Roman"/>
          <w:b/>
          <w:sz w:val="28"/>
        </w:rPr>
        <w:t>Warsztaty szkoleniowe Europejskiej Akademii Pacjentów (EUPATI) w Barcelonie</w:t>
      </w:r>
      <w:r>
        <w:rPr>
          <w:rFonts w:ascii="Times New Roman" w:hAnsi="Times New Roman"/>
        </w:rPr>
        <w:t>.</w:t>
      </w:r>
    </w:p>
    <w:p w:rsidR="00BD2C68" w:rsidRDefault="00BD2C68">
      <w:pPr>
        <w:rPr>
          <w:rFonts w:ascii="Times New Roman" w:hAnsi="Times New Roman"/>
        </w:rPr>
      </w:pPr>
    </w:p>
    <w:p w:rsidR="00BD2C68" w:rsidRDefault="00BD2C68">
      <w:pPr>
        <w:rPr>
          <w:rFonts w:ascii="Times New Roman" w:hAnsi="Times New Roman"/>
        </w:rPr>
      </w:pPr>
      <w:r>
        <w:rPr>
          <w:rFonts w:ascii="Times New Roman" w:hAnsi="Times New Roman"/>
        </w:rPr>
        <w:t>W dniach 19 – 23 września 2016 odbyło się drugie spotkanie warsztatowe uczestników 15-miesięcznego kursu szkoleniowego dla 50 przedstawicieli z wszystkich państw europejskich. Polskę reprezentował Witold Michałek, Dyrektor Wykonawczy FPP.</w:t>
      </w:r>
    </w:p>
    <w:p w:rsidR="00BD2C68" w:rsidRDefault="00BD2C68">
      <w:pPr>
        <w:rPr>
          <w:rFonts w:ascii="Times New Roman" w:hAnsi="Times New Roman"/>
        </w:rPr>
      </w:pPr>
      <w:r>
        <w:rPr>
          <w:rFonts w:ascii="Times New Roman" w:hAnsi="Times New Roman"/>
        </w:rPr>
        <w:t>Europejska Akademia Pacjentów  (EUPATI) jest ogólnoeuropejskim projektem obejmującym inicjatywy dotyczące innowacyjnych leków, prowadzonym przez 33 organizacje, kierowanym przez Europejskie Forum Pacjentów (EPF), przy którego realizacji współpracują organizacje partnerskie (European Genetic Alliance, European AIDS Treatment Group i EURORDIS), uniwersytety i organizacje non-profit, a także wiele europejskich firm farmaceutycznych.</w:t>
      </w:r>
    </w:p>
    <w:p w:rsidR="00BD2C68" w:rsidRDefault="00BD2C68">
      <w:pPr>
        <w:rPr>
          <w:rFonts w:ascii="Times New Roman" w:hAnsi="Times New Roman"/>
        </w:rPr>
      </w:pPr>
      <w:r>
        <w:rPr>
          <w:rFonts w:ascii="Times New Roman" w:hAnsi="Times New Roman"/>
        </w:rPr>
        <w:t>Tematyka warsztatów obejmowała trzy główne zagadnienia dotyczące:</w:t>
      </w:r>
    </w:p>
    <w:p w:rsidR="00BD2C68" w:rsidRDefault="00BD2C68">
      <w:pPr>
        <w:rPr>
          <w:rFonts w:ascii="Times New Roman" w:hAnsi="Times New Roman"/>
        </w:rPr>
      </w:pPr>
      <w:r>
        <w:rPr>
          <w:rFonts w:ascii="Times New Roman" w:hAnsi="Times New Roman"/>
        </w:rPr>
        <w:t>-  metodologii i procedur oceny technologii medycznych (HTA),</w:t>
      </w:r>
    </w:p>
    <w:p w:rsidR="00BD2C68" w:rsidRDefault="00BD2C68">
      <w:pPr>
        <w:rPr>
          <w:rFonts w:ascii="Times New Roman" w:hAnsi="Times New Roman"/>
        </w:rPr>
      </w:pPr>
      <w:r>
        <w:rPr>
          <w:rFonts w:ascii="Times New Roman" w:hAnsi="Times New Roman"/>
        </w:rPr>
        <w:t>-  oceny stosunku ryzyka i korzyści przy wprowadzaniu na rynek nowych leków,</w:t>
      </w:r>
    </w:p>
    <w:p w:rsidR="00BD2C68" w:rsidRDefault="00BD2C68">
      <w:pPr>
        <w:rPr>
          <w:rFonts w:ascii="Times New Roman" w:hAnsi="Times New Roman"/>
        </w:rPr>
      </w:pPr>
      <w:r>
        <w:rPr>
          <w:rFonts w:ascii="Times New Roman" w:hAnsi="Times New Roman"/>
        </w:rPr>
        <w:t>-  bezpieczeństwa stosowania produktów leczniczych.</w:t>
      </w:r>
    </w:p>
    <w:p w:rsidR="00BD2C68" w:rsidRDefault="00BD2C68">
      <w:pPr>
        <w:rPr>
          <w:rFonts w:ascii="Times New Roman" w:hAnsi="Times New Roman"/>
        </w:rPr>
      </w:pPr>
      <w:r>
        <w:rPr>
          <w:rFonts w:ascii="Times New Roman" w:hAnsi="Times New Roman"/>
        </w:rPr>
        <w:t xml:space="preserve">Podobnie jak podczas pierwszego spotkania warsztatowego w kwietniu br., zajęcia były źródłem najistotniejszych informacji, będąc jednocześnie niezwykle interesujące - co najmniej z dwóch powodów: </w:t>
      </w:r>
    </w:p>
    <w:p w:rsidR="00BD2C68" w:rsidRPr="002C7F59" w:rsidRDefault="00BD2C68" w:rsidP="002C7F59">
      <w:pPr>
        <w:pStyle w:val="ListParagraph"/>
        <w:numPr>
          <w:ilvl w:val="0"/>
          <w:numId w:val="1"/>
        </w:numPr>
        <w:rPr>
          <w:rFonts w:ascii="Times New Roman" w:hAnsi="Times New Roman"/>
        </w:rPr>
      </w:pPr>
      <w:r w:rsidRPr="002C7F59">
        <w:rPr>
          <w:rFonts w:ascii="Times New Roman" w:hAnsi="Times New Roman"/>
        </w:rPr>
        <w:t>prowadzącymi poszczególne sesje byli najwyższej klasy eksperci z omawianej dziedziny,</w:t>
      </w:r>
    </w:p>
    <w:p w:rsidR="00BD2C68" w:rsidRDefault="00BD2C68" w:rsidP="002C7F59">
      <w:pPr>
        <w:pStyle w:val="ListParagraph"/>
        <w:numPr>
          <w:ilvl w:val="0"/>
          <w:numId w:val="1"/>
        </w:numPr>
        <w:rPr>
          <w:rFonts w:ascii="Times New Roman" w:hAnsi="Times New Roman"/>
        </w:rPr>
      </w:pPr>
      <w:r>
        <w:rPr>
          <w:rFonts w:ascii="Times New Roman" w:hAnsi="Times New Roman"/>
        </w:rPr>
        <w:t>widoczna była duża aktywność i doświadczenie uczestników warsztatów, reprezentujących organizacje pacjenckie działające we wszystkich państwach europejskich (nie tylko z UE).</w:t>
      </w:r>
    </w:p>
    <w:p w:rsidR="00BD2C68" w:rsidRDefault="00BD2C68" w:rsidP="00C06718">
      <w:pPr>
        <w:pStyle w:val="ListParagraph"/>
        <w:rPr>
          <w:rFonts w:ascii="Times New Roman" w:hAnsi="Times New Roman"/>
        </w:rPr>
      </w:pPr>
    </w:p>
    <w:p w:rsidR="00BD2C68" w:rsidRPr="00C06718" w:rsidRDefault="00BD2C68" w:rsidP="00C06718">
      <w:pPr>
        <w:rPr>
          <w:rFonts w:ascii="Times New Roman" w:hAnsi="Times New Roman"/>
          <w:b/>
        </w:rPr>
      </w:pPr>
      <w:r w:rsidRPr="00C06718">
        <w:rPr>
          <w:rFonts w:ascii="Times New Roman" w:hAnsi="Times New Roman"/>
          <w:b/>
        </w:rPr>
        <w:t>Metodologia i procedury oceny technologii medycznych (HTA)</w:t>
      </w:r>
    </w:p>
    <w:p w:rsidR="00BD2C68" w:rsidRDefault="00BD2C68" w:rsidP="00800424">
      <w:pPr>
        <w:rPr>
          <w:rFonts w:ascii="Times New Roman" w:hAnsi="Times New Roman"/>
        </w:rPr>
      </w:pPr>
      <w:r>
        <w:rPr>
          <w:rFonts w:ascii="Times New Roman" w:hAnsi="Times New Roman"/>
        </w:rPr>
        <w:t>Główną prezentację nt. oceny procedur medycznych (HTA) przedstawiła Karen Facey z Wielkiej Brytanii, współzałożycielka pierwszej agencji oceny technologii medycznych w Szkocji w 2000 roku.</w:t>
      </w:r>
    </w:p>
    <w:p w:rsidR="00BD2C68" w:rsidRDefault="00BD2C68" w:rsidP="00800424">
      <w:pPr>
        <w:rPr>
          <w:rFonts w:ascii="Times New Roman" w:hAnsi="Times New Roman"/>
        </w:rPr>
      </w:pPr>
      <w:r>
        <w:rPr>
          <w:rFonts w:ascii="Times New Roman" w:hAnsi="Times New Roman"/>
        </w:rPr>
        <w:t>Proces HTA można określić jako łącznik pomiędzy dowodami naukowymi dot. skuteczności i efektywności nowego leku a procesem decyzyjnym instytucji rządowych nt. ewentualnego refundowania danego leku/produktu medycznego.</w:t>
      </w:r>
    </w:p>
    <w:p w:rsidR="00BD2C68" w:rsidRDefault="00BD2C68" w:rsidP="00800424">
      <w:pPr>
        <w:rPr>
          <w:rFonts w:ascii="Times New Roman" w:hAnsi="Times New Roman"/>
        </w:rPr>
      </w:pPr>
      <w:r>
        <w:rPr>
          <w:rFonts w:ascii="Times New Roman" w:hAnsi="Times New Roman"/>
        </w:rPr>
        <w:t>Bardzo interesująca wydaje się teza wykładu, iż udział pacjentów-ekspertów w procesie HTA może mieć miejsce na każdym z jego wielu etapów, w tym na etapie:</w:t>
      </w:r>
    </w:p>
    <w:p w:rsidR="00BD2C68" w:rsidRPr="00AC702E" w:rsidRDefault="00BD2C68" w:rsidP="00AC702E">
      <w:pPr>
        <w:pStyle w:val="ListParagraph"/>
        <w:numPr>
          <w:ilvl w:val="0"/>
          <w:numId w:val="2"/>
        </w:numPr>
        <w:rPr>
          <w:rFonts w:ascii="Times New Roman" w:hAnsi="Times New Roman"/>
        </w:rPr>
      </w:pPr>
      <w:r>
        <w:rPr>
          <w:rFonts w:ascii="Times New Roman" w:hAnsi="Times New Roman"/>
        </w:rPr>
        <w:t>planowania</w:t>
      </w:r>
      <w:r w:rsidRPr="00AC702E">
        <w:rPr>
          <w:rFonts w:ascii="Times New Roman" w:hAnsi="Times New Roman"/>
        </w:rPr>
        <w:t xml:space="preserve"> badań mających na celu zgromadzenie dowodów, że nowy lek ma takie cech</w:t>
      </w:r>
      <w:r>
        <w:rPr>
          <w:rFonts w:ascii="Times New Roman" w:hAnsi="Times New Roman"/>
        </w:rPr>
        <w:t>y</w:t>
      </w:r>
      <w:r w:rsidRPr="00AC702E">
        <w:rPr>
          <w:rFonts w:ascii="Times New Roman" w:hAnsi="Times New Roman"/>
        </w:rPr>
        <w:t>, jakich oczekują regulatorzy i pacjenci,</w:t>
      </w:r>
    </w:p>
    <w:p w:rsidR="00BD2C68" w:rsidRDefault="00BD2C68" w:rsidP="00AC702E">
      <w:pPr>
        <w:pStyle w:val="ListParagraph"/>
        <w:numPr>
          <w:ilvl w:val="0"/>
          <w:numId w:val="2"/>
        </w:numPr>
        <w:rPr>
          <w:rFonts w:ascii="Times New Roman" w:hAnsi="Times New Roman"/>
        </w:rPr>
      </w:pPr>
      <w:r>
        <w:rPr>
          <w:rFonts w:ascii="Times New Roman" w:hAnsi="Times New Roman"/>
        </w:rPr>
        <w:t>prezentacji doświadczeń pacjentów wobec komisji eksperckiej agencji HTA,</w:t>
      </w:r>
    </w:p>
    <w:p w:rsidR="00BD2C68" w:rsidRDefault="00BD2C68" w:rsidP="00AC702E">
      <w:pPr>
        <w:pStyle w:val="ListParagraph"/>
        <w:numPr>
          <w:ilvl w:val="0"/>
          <w:numId w:val="2"/>
        </w:numPr>
        <w:rPr>
          <w:rFonts w:ascii="Times New Roman" w:hAnsi="Times New Roman"/>
        </w:rPr>
      </w:pPr>
      <w:r>
        <w:rPr>
          <w:rFonts w:ascii="Times New Roman" w:hAnsi="Times New Roman"/>
        </w:rPr>
        <w:t>udziału w komisji HTA dokonującej ocen leków,</w:t>
      </w:r>
    </w:p>
    <w:p w:rsidR="00BD2C68" w:rsidRDefault="00BD2C68" w:rsidP="00AC702E">
      <w:pPr>
        <w:pStyle w:val="ListParagraph"/>
        <w:numPr>
          <w:ilvl w:val="0"/>
          <w:numId w:val="2"/>
        </w:numPr>
        <w:rPr>
          <w:rFonts w:ascii="Times New Roman" w:hAnsi="Times New Roman"/>
        </w:rPr>
      </w:pPr>
      <w:r>
        <w:rPr>
          <w:rFonts w:ascii="Times New Roman" w:hAnsi="Times New Roman"/>
        </w:rPr>
        <w:t>konsultowania rekomendacji przygotowanych przez agencję HTA,</w:t>
      </w:r>
    </w:p>
    <w:p w:rsidR="00BD2C68" w:rsidRDefault="00BD2C68" w:rsidP="00AC702E">
      <w:pPr>
        <w:pStyle w:val="ListParagraph"/>
        <w:numPr>
          <w:ilvl w:val="0"/>
          <w:numId w:val="2"/>
        </w:numPr>
        <w:rPr>
          <w:rFonts w:ascii="Times New Roman" w:hAnsi="Times New Roman"/>
        </w:rPr>
      </w:pPr>
      <w:r>
        <w:rPr>
          <w:rFonts w:ascii="Times New Roman" w:hAnsi="Times New Roman"/>
        </w:rPr>
        <w:t>opracowania streszczeń oceny w „języku“ przyjaznym dla pacjentów,</w:t>
      </w:r>
    </w:p>
    <w:p w:rsidR="00BD2C68" w:rsidRDefault="00BD2C68" w:rsidP="00AC702E">
      <w:pPr>
        <w:pStyle w:val="ListParagraph"/>
        <w:numPr>
          <w:ilvl w:val="0"/>
          <w:numId w:val="2"/>
        </w:numPr>
        <w:rPr>
          <w:rFonts w:ascii="Times New Roman" w:hAnsi="Times New Roman"/>
        </w:rPr>
      </w:pPr>
      <w:r>
        <w:rPr>
          <w:rFonts w:ascii="Times New Roman" w:hAnsi="Times New Roman"/>
        </w:rPr>
        <w:t>rozpowszechniania informacji dot. rekomendacji agencji HTA,</w:t>
      </w:r>
    </w:p>
    <w:p w:rsidR="00BD2C68" w:rsidRDefault="00BD2C68" w:rsidP="00AC702E">
      <w:pPr>
        <w:pStyle w:val="ListParagraph"/>
        <w:numPr>
          <w:ilvl w:val="0"/>
          <w:numId w:val="2"/>
        </w:numPr>
        <w:rPr>
          <w:rFonts w:ascii="Times New Roman" w:hAnsi="Times New Roman"/>
        </w:rPr>
      </w:pPr>
      <w:r>
        <w:rPr>
          <w:rFonts w:ascii="Times New Roman" w:hAnsi="Times New Roman"/>
        </w:rPr>
        <w:t>współpracy w prowadzonej przez stosowne instytucje rządowe ocenie HTA.</w:t>
      </w:r>
    </w:p>
    <w:p w:rsidR="00BD2C68" w:rsidRDefault="00BD2C68" w:rsidP="0076171D">
      <w:pPr>
        <w:rPr>
          <w:rFonts w:ascii="Times New Roman" w:hAnsi="Times New Roman"/>
        </w:rPr>
      </w:pPr>
      <w:r>
        <w:rPr>
          <w:rFonts w:ascii="Times New Roman" w:hAnsi="Times New Roman"/>
        </w:rPr>
        <w:t>Udział ten jest jednak możliwy dopiero po spełnieniu przez pacjentów-ekspertów szeregu warunków, wymagających specjalistycznego przygotowania. Projekt EUPATI właśnie takie przygotowanie umożliwia.</w:t>
      </w:r>
    </w:p>
    <w:p w:rsidR="00BD2C68" w:rsidRDefault="00BD2C68" w:rsidP="0076171D">
      <w:pPr>
        <w:rPr>
          <w:rFonts w:ascii="Times New Roman" w:hAnsi="Times New Roman"/>
        </w:rPr>
      </w:pPr>
      <w:r>
        <w:rPr>
          <w:rFonts w:ascii="Times New Roman" w:hAnsi="Times New Roman"/>
        </w:rPr>
        <w:t>W panelu dyskusyjnym dot. problematyki HTA wzięła udział Anna Zawada, dyr. Biura Obsługi Rady Przejrzystości i Rady ds. Taryfikacji AOTMiT.</w:t>
      </w:r>
    </w:p>
    <w:p w:rsidR="00BD2C68" w:rsidRPr="009B0270" w:rsidRDefault="00BD2C68" w:rsidP="0076171D">
      <w:pPr>
        <w:rPr>
          <w:rFonts w:ascii="Times New Roman" w:hAnsi="Times New Roman"/>
          <w:b/>
        </w:rPr>
      </w:pPr>
      <w:r w:rsidRPr="009B0270">
        <w:rPr>
          <w:rFonts w:ascii="Times New Roman" w:hAnsi="Times New Roman"/>
          <w:b/>
        </w:rPr>
        <w:t>Ocena stosunku ryzyka i korzyści przy wprowadzaniu na rynek nowych leków</w:t>
      </w:r>
    </w:p>
    <w:p w:rsidR="00BD2C68" w:rsidRDefault="00BD2C68" w:rsidP="0076171D">
      <w:pPr>
        <w:rPr>
          <w:rFonts w:ascii="Times New Roman" w:hAnsi="Times New Roman"/>
        </w:rPr>
      </w:pPr>
      <w:r>
        <w:rPr>
          <w:rFonts w:ascii="Times New Roman" w:hAnsi="Times New Roman"/>
        </w:rPr>
        <w:t xml:space="preserve">Problem wyważenia korzyści i ryzyk związanych z wprowadzeniem nowych leków na rynek (benefit-risk evaluation) jest tematem złożonym, gdzie metody oceny oraz sposób komunikacji z pacjentami, opinią publiczną i decydentami mają podstawowe znacznie. Wprowadzająca prezentacja do tego tematu została przedstawiona przez Matts’a G. Hansson’a  z uniwersytetu w Uppsali, Szwecja. </w:t>
      </w:r>
    </w:p>
    <w:p w:rsidR="00BD2C68" w:rsidRDefault="00BD2C68" w:rsidP="0076171D">
      <w:pPr>
        <w:rPr>
          <w:rFonts w:ascii="Times New Roman" w:hAnsi="Times New Roman"/>
        </w:rPr>
      </w:pPr>
      <w:r>
        <w:rPr>
          <w:rFonts w:ascii="Times New Roman" w:hAnsi="Times New Roman"/>
        </w:rPr>
        <w:t xml:space="preserve">W procesie komunikowana się interesariuszy przy podejmowaniu decyzji dot. stosowania leków ważna jest m.in. psychologia.  Ludzie podejmują decyzje w oparciu o własną ocenę konsekwencji alternatywnych wyborów. Reakcje na sytuacje związane z ryzykiem i wynikające z tego decyzje w dużej części zależne są od  wpływu emocjonalnego, np. strachu, obaw, poczucia niepewności , itp. </w:t>
      </w:r>
    </w:p>
    <w:p w:rsidR="00BD2C68" w:rsidRDefault="00BD2C68" w:rsidP="0076171D">
      <w:pPr>
        <w:rPr>
          <w:rFonts w:ascii="Times New Roman" w:hAnsi="Times New Roman"/>
        </w:rPr>
      </w:pPr>
      <w:r>
        <w:rPr>
          <w:rFonts w:ascii="Times New Roman" w:hAnsi="Times New Roman"/>
        </w:rPr>
        <w:t>Obecnie prowadzone są międzynarodowe badania (IMI PREFER Project) mające na celu opracowanie wytycznych dla przemysłu farmaceutycznego, instytucji regulacyjnych oraz instytucji HTA, w jakich sytuacjach i na jakim etapie cyklu życiowego leku należy zasięgnąć opinii pacjentów nt. korzyści i ryzyk jego stosowania. Rozpatrywane są m.in. następujące sytuacje/hipotezy:</w:t>
      </w:r>
    </w:p>
    <w:p w:rsidR="00BD2C68" w:rsidRPr="00BD0393" w:rsidRDefault="00BD2C68" w:rsidP="00BD0393">
      <w:pPr>
        <w:pStyle w:val="ListParagraph"/>
        <w:numPr>
          <w:ilvl w:val="0"/>
          <w:numId w:val="3"/>
        </w:numPr>
        <w:rPr>
          <w:rFonts w:ascii="Times New Roman" w:hAnsi="Times New Roman"/>
        </w:rPr>
      </w:pPr>
      <w:r w:rsidRPr="00BD0393">
        <w:rPr>
          <w:rFonts w:ascii="Times New Roman" w:hAnsi="Times New Roman"/>
        </w:rPr>
        <w:t xml:space="preserve">Wysoka korzyść/niskie ryzyko – </w:t>
      </w:r>
      <w:r>
        <w:rPr>
          <w:rFonts w:ascii="Times New Roman" w:hAnsi="Times New Roman"/>
        </w:rPr>
        <w:t>się</w:t>
      </w:r>
      <w:r w:rsidRPr="00BD0393">
        <w:rPr>
          <w:rFonts w:ascii="Times New Roman" w:hAnsi="Times New Roman"/>
        </w:rPr>
        <w:t>ganie po informacje nt. preferencji pacjentów nie jest</w:t>
      </w:r>
      <w:r>
        <w:rPr>
          <w:rFonts w:ascii="Times New Roman" w:hAnsi="Times New Roman"/>
        </w:rPr>
        <w:t xml:space="preserve"> </w:t>
      </w:r>
      <w:r w:rsidRPr="00BD0393">
        <w:rPr>
          <w:rFonts w:ascii="Times New Roman" w:hAnsi="Times New Roman"/>
        </w:rPr>
        <w:t>specjalnie potrzebne, kiedy udowodnione korzyś</w:t>
      </w:r>
      <w:r>
        <w:rPr>
          <w:rFonts w:ascii="Times New Roman" w:hAnsi="Times New Roman"/>
        </w:rPr>
        <w:t>ci  znacznie przewyższają ryzyka</w:t>
      </w:r>
      <w:r w:rsidRPr="00BD0393">
        <w:rPr>
          <w:rFonts w:ascii="Times New Roman" w:hAnsi="Times New Roman"/>
        </w:rPr>
        <w:t xml:space="preserve"> (najczęściej związane ze szkodliwymi efektami ubocznymi)  stosowania leku.</w:t>
      </w:r>
    </w:p>
    <w:p w:rsidR="00BD2C68" w:rsidRDefault="00BD2C68" w:rsidP="00BD0393">
      <w:pPr>
        <w:pStyle w:val="ListParagraph"/>
        <w:numPr>
          <w:ilvl w:val="0"/>
          <w:numId w:val="3"/>
        </w:numPr>
        <w:rPr>
          <w:rFonts w:ascii="Times New Roman" w:hAnsi="Times New Roman"/>
        </w:rPr>
      </w:pPr>
      <w:r>
        <w:rPr>
          <w:rFonts w:ascii="Times New Roman" w:hAnsi="Times New Roman"/>
        </w:rPr>
        <w:t>Niska korzyść/ niskie ryzyko – uzyskanie informacji dot. preferencji pacjentów jest potrzebne aby wykazać, że co najmniej jakaś część pacjentów chce takiej niewielkiej korzyści,</w:t>
      </w:r>
    </w:p>
    <w:p w:rsidR="00BD2C68" w:rsidRDefault="00BD2C68" w:rsidP="00BD0393">
      <w:pPr>
        <w:pStyle w:val="ListParagraph"/>
        <w:numPr>
          <w:ilvl w:val="0"/>
          <w:numId w:val="3"/>
        </w:numPr>
        <w:rPr>
          <w:rFonts w:ascii="Times New Roman" w:hAnsi="Times New Roman"/>
        </w:rPr>
      </w:pPr>
      <w:r>
        <w:rPr>
          <w:rFonts w:ascii="Times New Roman" w:hAnsi="Times New Roman"/>
        </w:rPr>
        <w:t>Wysoka korzyść/wysokie ryzyko – pozyskanie informacji o preferencjach pacjentów jest jak najbardziej wskazane, aby wyodrębnić grupę pacjentów skłonnych podjąć wysokie ryzyko w celu uzyskania wysokiej korzyści związanej ze stosowaniem danego leku,</w:t>
      </w:r>
    </w:p>
    <w:p w:rsidR="00BD2C68" w:rsidRDefault="00BD2C68" w:rsidP="00BD0393">
      <w:pPr>
        <w:pStyle w:val="ListParagraph"/>
        <w:numPr>
          <w:ilvl w:val="0"/>
          <w:numId w:val="3"/>
        </w:numPr>
        <w:rPr>
          <w:rFonts w:ascii="Times New Roman" w:hAnsi="Times New Roman"/>
        </w:rPr>
      </w:pPr>
      <w:r>
        <w:rPr>
          <w:rFonts w:ascii="Times New Roman" w:hAnsi="Times New Roman"/>
        </w:rPr>
        <w:t>Niska korzyść/wysokie ryzyko – w tym przypadku ważne jest uzyskanie informacji o preferencjach pacjentów, ponieważ lek będzie mógł zostać zatwierdzony do wprowadzenia na rynek jedynie pod warunkiem udowodnienia, że istnieje określona grupa pacjentów, którzy chcą podjać wysokie ryzyko mając nadzieję na uzyskanie niewielkich korzyści (niewielkiej poprawy).</w:t>
      </w:r>
    </w:p>
    <w:p w:rsidR="00BD2C68" w:rsidRDefault="00BD2C68" w:rsidP="00907C12">
      <w:pPr>
        <w:pStyle w:val="ListParagraph"/>
        <w:rPr>
          <w:rFonts w:ascii="Times New Roman" w:hAnsi="Times New Roman"/>
        </w:rPr>
      </w:pPr>
    </w:p>
    <w:p w:rsidR="00BD2C68" w:rsidRPr="00193FBC" w:rsidRDefault="00BD2C68" w:rsidP="00907C12">
      <w:pPr>
        <w:rPr>
          <w:rFonts w:ascii="Times New Roman" w:hAnsi="Times New Roman"/>
          <w:b/>
        </w:rPr>
      </w:pPr>
      <w:r w:rsidRPr="00193FBC">
        <w:rPr>
          <w:rFonts w:ascii="Times New Roman" w:hAnsi="Times New Roman"/>
          <w:b/>
        </w:rPr>
        <w:t>Bezpieczeństwo stosowania produktów lecznicznych</w:t>
      </w:r>
    </w:p>
    <w:p w:rsidR="00BD2C68" w:rsidRDefault="00BD2C68" w:rsidP="00907C12">
      <w:pPr>
        <w:rPr>
          <w:rFonts w:ascii="Times New Roman" w:hAnsi="Times New Roman"/>
        </w:rPr>
      </w:pPr>
      <w:r>
        <w:rPr>
          <w:rFonts w:ascii="Times New Roman" w:hAnsi="Times New Roman"/>
        </w:rPr>
        <w:t>Bardzo ważne dla bezpieczeństwa stosowania produktów leczniczych jest prowadzenie długookresowego monitoringu. Taki monitoring znany jest pod nazwą pharmacovigilance (PV). Zgodnie z definicją, PV- to działania naukowe i praktyczne mające na celu wykrycie, ocenę, zrozumienie i zapobieganie szkodliwym skutkom ubocznym lub wszelkim innym problemom związanym ze stosowaniem produktów leczniczych (już wprowadzonych na rynek).</w:t>
      </w:r>
    </w:p>
    <w:p w:rsidR="00BD2C68" w:rsidRDefault="00BD2C68" w:rsidP="00907C12">
      <w:pPr>
        <w:rPr>
          <w:rFonts w:ascii="Times New Roman" w:hAnsi="Times New Roman"/>
        </w:rPr>
      </w:pPr>
      <w:r>
        <w:rPr>
          <w:rFonts w:ascii="Times New Roman" w:hAnsi="Times New Roman"/>
        </w:rPr>
        <w:t>Działania te podjęto na poważnie dopiero stosunkowo niedawno, po wybuchu w 1961 roku skandalu związanego z wprowadzeniem na rynek produktu Thalidomide, którego skutki uboczne zażywania przez ciężarne kobiety okazały się tragiczne dla rozwoju płodu, a w konsekwencji urodzonych dzieci.</w:t>
      </w:r>
    </w:p>
    <w:p w:rsidR="00BD2C68" w:rsidRDefault="00BD2C68" w:rsidP="00907C12">
      <w:pPr>
        <w:rPr>
          <w:rFonts w:ascii="Times New Roman" w:hAnsi="Times New Roman"/>
        </w:rPr>
      </w:pPr>
      <w:r>
        <w:rPr>
          <w:rFonts w:ascii="Times New Roman" w:hAnsi="Times New Roman"/>
        </w:rPr>
        <w:t>Obecnie regulatorzy oraz firmy farmaceutyczne muszą uważnie monitorować stosowanie leków, aby wykryć wszelkie szkodliwe skutki uboczne, nie dające się przewidzieć na etapie prowadzenie badań klinicznych.</w:t>
      </w:r>
    </w:p>
    <w:p w:rsidR="00BD2C68" w:rsidRDefault="00BD2C68" w:rsidP="00907C12">
      <w:pPr>
        <w:rPr>
          <w:rFonts w:ascii="Times New Roman" w:hAnsi="Times New Roman"/>
        </w:rPr>
      </w:pPr>
      <w:r>
        <w:rPr>
          <w:rFonts w:ascii="Times New Roman" w:hAnsi="Times New Roman"/>
        </w:rPr>
        <w:t>W skali światowej działa już złożony, międzynarodowy system, który potrafi zgromadzić i przetworzyć informacje i relacje dot. ok. miliona zgłaszanych szkodliwych skutków ubocznych rocznie. Pozwala to znacznie szybciej i skuteczniej reagować na pojawiające się zagrożenia dla zdrowia i życia dużych populacji pacjentów. W Unii Europejskiej nadzoruje to, w ramach Europejskiej Agencji Medycznej (EMA) jej komitet naukowy – Pharmacovigilance Risk Assessment Committee (PRAC).</w:t>
      </w:r>
    </w:p>
    <w:p w:rsidR="00BD2C68" w:rsidRDefault="00BD2C68" w:rsidP="00907C12">
      <w:pPr>
        <w:rPr>
          <w:rFonts w:ascii="Times New Roman" w:hAnsi="Times New Roman"/>
        </w:rPr>
      </w:pPr>
      <w:r>
        <w:rPr>
          <w:rFonts w:ascii="Times New Roman" w:hAnsi="Times New Roman"/>
        </w:rPr>
        <w:t>Świetną prezentację na powyższe tematy przedstawiła Katarina Gvozdanovic z Chorwacji. O przyszłości pharmacovigilance oraz dlaczego pacjenci powinni zapoznać się z systemem zbierania informacji o produktach leczniczych w ramach procedur PV, rozmawiał również z uczestnikami Warszatów Francois Houyez, Francja, reprezentujący władze EURORDIS.</w:t>
      </w:r>
    </w:p>
    <w:p w:rsidR="00BD2C68" w:rsidRDefault="00BD2C68" w:rsidP="00907C12">
      <w:pPr>
        <w:rPr>
          <w:rFonts w:ascii="Times New Roman" w:hAnsi="Times New Roman"/>
        </w:rPr>
      </w:pPr>
      <w:r>
        <w:rPr>
          <w:rFonts w:ascii="Times New Roman" w:hAnsi="Times New Roman"/>
        </w:rPr>
        <w:t>Wykładom i prezentacjom towarzyszyły liczne warsztaty, w ramach których uczestnicy dyskutowali przypadki ilustrujące problemy decyzyjne, z jakimi mają do czynienia władze regulujące system opieki zdrowotnej oraz inni interesariusze, w tym firmy farmaceutyczne i organizacje pacjenckie.</w:t>
      </w:r>
    </w:p>
    <w:p w:rsidR="00BD2C68" w:rsidRPr="00601466" w:rsidRDefault="00BD2C68" w:rsidP="00907C12">
      <w:pPr>
        <w:rPr>
          <w:rFonts w:ascii="Times New Roman" w:hAnsi="Times New Roman"/>
          <w:i/>
        </w:rPr>
      </w:pPr>
      <w:r w:rsidRPr="00601466">
        <w:rPr>
          <w:rFonts w:ascii="Times New Roman" w:hAnsi="Times New Roman"/>
          <w:i/>
        </w:rPr>
        <w:t>WM, 06.10.2016</w:t>
      </w:r>
    </w:p>
    <w:p w:rsidR="00BD2C68" w:rsidRPr="00907C12" w:rsidRDefault="00BD2C68" w:rsidP="00907C12">
      <w:pPr>
        <w:rPr>
          <w:rFonts w:ascii="Times New Roman" w:hAnsi="Times New Roman"/>
        </w:rPr>
      </w:pPr>
    </w:p>
    <w:p w:rsidR="00BD2C68" w:rsidRPr="0076171D" w:rsidRDefault="00BD2C68" w:rsidP="0076171D">
      <w:pPr>
        <w:rPr>
          <w:rFonts w:ascii="Times New Roman" w:hAnsi="Times New Roman"/>
        </w:rPr>
      </w:pPr>
    </w:p>
    <w:sectPr w:rsidR="00BD2C68" w:rsidRPr="0076171D" w:rsidSect="002A0067">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744B3"/>
    <w:multiLevelType w:val="hybridMultilevel"/>
    <w:tmpl w:val="37B6962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20C08D7"/>
    <w:multiLevelType w:val="hybridMultilevel"/>
    <w:tmpl w:val="9C7845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C416CE9"/>
    <w:multiLevelType w:val="hybridMultilevel"/>
    <w:tmpl w:val="83C0DD9A"/>
    <w:lvl w:ilvl="0" w:tplc="16506B5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0067"/>
    <w:rsid w:val="001572EF"/>
    <w:rsid w:val="00193FBC"/>
    <w:rsid w:val="002505D2"/>
    <w:rsid w:val="002A0067"/>
    <w:rsid w:val="002C7F59"/>
    <w:rsid w:val="00350680"/>
    <w:rsid w:val="00461924"/>
    <w:rsid w:val="004927D2"/>
    <w:rsid w:val="004A11FE"/>
    <w:rsid w:val="004E635B"/>
    <w:rsid w:val="005820B1"/>
    <w:rsid w:val="00601466"/>
    <w:rsid w:val="00611628"/>
    <w:rsid w:val="0076171D"/>
    <w:rsid w:val="00800424"/>
    <w:rsid w:val="00805A60"/>
    <w:rsid w:val="00835C00"/>
    <w:rsid w:val="008C7527"/>
    <w:rsid w:val="00907C12"/>
    <w:rsid w:val="009A55E3"/>
    <w:rsid w:val="009B0270"/>
    <w:rsid w:val="009D120A"/>
    <w:rsid w:val="00AC702E"/>
    <w:rsid w:val="00AE2D9F"/>
    <w:rsid w:val="00BC5E6D"/>
    <w:rsid w:val="00BD0393"/>
    <w:rsid w:val="00BD2C68"/>
    <w:rsid w:val="00BE2EE1"/>
    <w:rsid w:val="00C06718"/>
    <w:rsid w:val="00DA10C7"/>
    <w:rsid w:val="00DB2303"/>
    <w:rsid w:val="00EA54DA"/>
    <w:rsid w:val="00EC36A3"/>
    <w:rsid w:val="00F2016F"/>
    <w:rsid w:val="00FA6E4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4DA"/>
    <w:pPr>
      <w:spacing w:after="200"/>
    </w:pPr>
    <w:rPr>
      <w:sz w:val="24"/>
      <w:szCs w:val="24"/>
      <w:lang w:val="cs-CZ"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C7F59"/>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1031</Words>
  <Characters>6192</Characters>
  <Application>Microsoft Office Outlook</Application>
  <DocSecurity>0</DocSecurity>
  <Lines>0</Lines>
  <Paragraphs>0</Paragraphs>
  <ScaleCrop>false</ScaleCrop>
  <Company>dom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Warsztaty szkoleniowe Europejskiej Akademii Pacjentów (EUPATI) w Barcelonie</dc:title>
  <dc:subject/>
  <dc:creator>Witold Michałek</dc:creator>
  <cp:keywords/>
  <dc:description/>
  <cp:lastModifiedBy>.</cp:lastModifiedBy>
  <cp:revision>2</cp:revision>
  <dcterms:created xsi:type="dcterms:W3CDTF">2016-10-12T08:49:00Z</dcterms:created>
  <dcterms:modified xsi:type="dcterms:W3CDTF">2016-10-12T08:49:00Z</dcterms:modified>
</cp:coreProperties>
</file>